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91A520D" w14:textId="3F5290E9" w:rsidR="006B5AF3" w:rsidRDefault="0047783A" w:rsidP="006B5AF3">
      <w:pPr>
        <w:pStyle w:val="Title"/>
        <w:jc w:val="left"/>
        <w:rPr>
          <w:sz w:val="22"/>
          <w:szCs w:val="22"/>
          <w:lang w:val="en-GB"/>
        </w:rPr>
      </w:pPr>
      <w:r w:rsidRPr="006A5F84">
        <w:rPr>
          <w:sz w:val="22"/>
          <w:szCs w:val="22"/>
          <w:lang w:val="en-GB"/>
        </w:rPr>
        <w:t xml:space="preserve">Publication reference: </w:t>
      </w:r>
      <w:r w:rsidR="006B5AF3" w:rsidRPr="006B5AF3">
        <w:rPr>
          <w:sz w:val="22"/>
          <w:szCs w:val="22"/>
          <w:lang w:val="en-GB"/>
        </w:rPr>
        <w:t>RORS00005 – TD03</w:t>
      </w:r>
      <w:r w:rsidR="00786B45">
        <w:rPr>
          <w:sz w:val="22"/>
          <w:szCs w:val="22"/>
          <w:lang w:val="en-GB"/>
        </w:rPr>
        <w:t>/R</w:t>
      </w:r>
      <w:bookmarkStart w:id="2" w:name="_GoBack"/>
      <w:bookmarkEnd w:id="2"/>
    </w:p>
    <w:p w14:paraId="4B06F566" w14:textId="43BBC211" w:rsidR="0072085A" w:rsidRDefault="0047783A" w:rsidP="006B5AF3">
      <w:pPr>
        <w:pStyle w:val="Title"/>
        <w:jc w:val="left"/>
        <w:rPr>
          <w:sz w:val="22"/>
          <w:szCs w:val="22"/>
          <w:lang w:val="en-GB"/>
        </w:rPr>
      </w:pPr>
      <w:r w:rsidRPr="006A5F84">
        <w:rPr>
          <w:sz w:val="22"/>
          <w:szCs w:val="22"/>
          <w:lang w:val="en-GB"/>
        </w:rPr>
        <w:t xml:space="preserve">Title of contract: </w:t>
      </w:r>
      <w:r w:rsidR="006B5AF3" w:rsidRPr="006B5AF3">
        <w:rPr>
          <w:sz w:val="22"/>
          <w:szCs w:val="22"/>
          <w:lang w:val="en-GB"/>
        </w:rPr>
        <w:t>Specialized intervention equipment</w:t>
      </w:r>
      <w:r w:rsidR="0072085A">
        <w:rPr>
          <w:sz w:val="22"/>
          <w:szCs w:val="22"/>
          <w:lang w:val="en-GB"/>
        </w:rPr>
        <w:t xml:space="preserve"> </w:t>
      </w:r>
    </w:p>
    <w:p w14:paraId="5FC9769D" w14:textId="65013640" w:rsidR="0047783A" w:rsidRPr="006A5F84" w:rsidRDefault="0047783A" w:rsidP="0072085A">
      <w:pPr>
        <w:pStyle w:val="Title"/>
        <w:jc w:val="righ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4AE39A74" w:rsidR="0047783A" w:rsidRDefault="0047783A" w:rsidP="0047783A">
      <w:pPr>
        <w:rPr>
          <w:b/>
          <w:sz w:val="22"/>
          <w:szCs w:val="22"/>
        </w:rPr>
      </w:pPr>
      <w:r w:rsidRPr="006A5F84">
        <w:rPr>
          <w:b/>
          <w:sz w:val="22"/>
          <w:szCs w:val="22"/>
        </w:rPr>
        <w:t xml:space="preserve">A: </w:t>
      </w:r>
      <w:r w:rsidR="0072085A">
        <w:rPr>
          <w:b/>
          <w:sz w:val="22"/>
          <w:szCs w:val="22"/>
        </w:rPr>
        <w:t>Ministry of Interior of the Republic of Serbia</w:t>
      </w:r>
    </w:p>
    <w:p w14:paraId="61C48307" w14:textId="365EE752" w:rsidR="0072085A" w:rsidRPr="006A5F84" w:rsidRDefault="0072085A" w:rsidP="0047783A">
      <w:pPr>
        <w:rPr>
          <w:b/>
          <w:sz w:val="22"/>
          <w:szCs w:val="22"/>
        </w:rPr>
      </w:pPr>
      <w:proofErr w:type="spellStart"/>
      <w:r>
        <w:rPr>
          <w:b/>
          <w:sz w:val="22"/>
          <w:szCs w:val="22"/>
        </w:rPr>
        <w:t>Bulevar</w:t>
      </w:r>
      <w:proofErr w:type="spellEnd"/>
      <w:r>
        <w:rPr>
          <w:b/>
          <w:sz w:val="22"/>
          <w:szCs w:val="22"/>
        </w:rPr>
        <w:t xml:space="preserve"> </w:t>
      </w:r>
      <w:proofErr w:type="spellStart"/>
      <w:r>
        <w:rPr>
          <w:b/>
          <w:sz w:val="22"/>
          <w:szCs w:val="22"/>
        </w:rPr>
        <w:t>Mihajla</w:t>
      </w:r>
      <w:proofErr w:type="spellEnd"/>
      <w:r>
        <w:rPr>
          <w:b/>
          <w:sz w:val="22"/>
          <w:szCs w:val="22"/>
        </w:rPr>
        <w:t xml:space="preserve"> </w:t>
      </w:r>
      <w:proofErr w:type="spellStart"/>
      <w:r>
        <w:rPr>
          <w:b/>
          <w:sz w:val="22"/>
          <w:szCs w:val="22"/>
        </w:rPr>
        <w:t>Pupina</w:t>
      </w:r>
      <w:proofErr w:type="spellEnd"/>
      <w:r>
        <w:rPr>
          <w:b/>
          <w:sz w:val="22"/>
          <w:szCs w:val="22"/>
        </w:rPr>
        <w:t xml:space="preserve"> 2, 11000 Belgrade,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 xml:space="preserve">Originals documents that have not been submitted must be kept by the tenderer. If requested, these originals </w:t>
      </w:r>
      <w:proofErr w:type="gramStart"/>
      <w:r w:rsidRPr="001D5D2F">
        <w:rPr>
          <w:sz w:val="22"/>
          <w:szCs w:val="22"/>
          <w:highlight w:val="yellow"/>
          <w:lang w:val="en-GB"/>
        </w:rPr>
        <w:t>documents</w:t>
      </w:r>
      <w:proofErr w:type="gramEnd"/>
      <w:r w:rsidRPr="001D5D2F">
        <w:rPr>
          <w:sz w:val="22"/>
          <w:szCs w:val="22"/>
          <w:highlight w:val="yellow"/>
          <w:lang w:val="en-GB"/>
        </w:rPr>
        <w:t xml:space="preserve">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w:t>
      </w:r>
      <w:r>
        <w:rPr>
          <w:b/>
          <w:sz w:val="22"/>
          <w:szCs w:val="22"/>
        </w:rPr>
        <w:lastRenderedPageBreak/>
        <w:t>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proofErr w:type="gramStart"/>
      <w:r>
        <w:rPr>
          <w:sz w:val="22"/>
          <w:szCs w:val="22"/>
          <w:highlight w:val="yellow"/>
        </w:rPr>
        <w:t>the</w:t>
      </w:r>
      <w:proofErr w:type="gramEnd"/>
      <w:r>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proofErr w:type="gramStart"/>
      <w:r>
        <w:rPr>
          <w:sz w:val="22"/>
          <w:szCs w:val="22"/>
          <w:highlight w:val="yellow"/>
        </w:rPr>
        <w:t>the</w:t>
      </w:r>
      <w:proofErr w:type="gramEnd"/>
      <w:r>
        <w:rPr>
          <w:sz w:val="22"/>
          <w:szCs w:val="22"/>
          <w:highlight w:val="yellow"/>
        </w:rPr>
        <w:t xml:space="preserv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17426" w14:textId="77777777" w:rsidR="00250DAA" w:rsidRPr="006A5F84" w:rsidRDefault="00250DAA">
      <w:r w:rsidRPr="006A5F84">
        <w:separator/>
      </w:r>
    </w:p>
  </w:endnote>
  <w:endnote w:type="continuationSeparator" w:id="0">
    <w:p w14:paraId="01AE1022" w14:textId="77777777" w:rsidR="00250DAA" w:rsidRPr="006A5F84" w:rsidRDefault="00250DA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86B45">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86B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86B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86B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86B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86B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86B45">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86B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86B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86B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CFA9B" w14:textId="77777777" w:rsidR="00250DAA" w:rsidRPr="006A5F84" w:rsidRDefault="00250DAA">
      <w:r w:rsidRPr="006A5F84">
        <w:separator/>
      </w:r>
    </w:p>
  </w:footnote>
  <w:footnote w:type="continuationSeparator" w:id="0">
    <w:p w14:paraId="507E6267" w14:textId="77777777" w:rsidR="00250DAA" w:rsidRPr="006A5F84" w:rsidRDefault="00250DAA">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09505" w14:textId="77777777" w:rsidR="00B60E33" w:rsidRDefault="00B60E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5C358" w14:textId="77777777" w:rsidR="00B60E33" w:rsidRDefault="00B60E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4EF51" w14:textId="77777777" w:rsidR="00B60E33" w:rsidRDefault="00B60E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0DAA"/>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42BB"/>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B5AF3"/>
    <w:rsid w:val="006C2F05"/>
    <w:rsid w:val="006C513D"/>
    <w:rsid w:val="006C6899"/>
    <w:rsid w:val="006D3BA1"/>
    <w:rsid w:val="006E0D16"/>
    <w:rsid w:val="006E4B07"/>
    <w:rsid w:val="006E56FD"/>
    <w:rsid w:val="006E6880"/>
    <w:rsid w:val="006F43E5"/>
    <w:rsid w:val="00711C72"/>
    <w:rsid w:val="0071243A"/>
    <w:rsid w:val="0072085A"/>
    <w:rsid w:val="00724D0C"/>
    <w:rsid w:val="0073450F"/>
    <w:rsid w:val="0073546D"/>
    <w:rsid w:val="0075384B"/>
    <w:rsid w:val="00760195"/>
    <w:rsid w:val="00761F96"/>
    <w:rsid w:val="007625F7"/>
    <w:rsid w:val="00763B1C"/>
    <w:rsid w:val="007666CD"/>
    <w:rsid w:val="00773081"/>
    <w:rsid w:val="00776BF7"/>
    <w:rsid w:val="007775D4"/>
    <w:rsid w:val="00777E99"/>
    <w:rsid w:val="00786B45"/>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084F"/>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D85BD-CCBC-43A7-9C25-2B6C8D5B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2785</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3</cp:revision>
  <cp:lastPrinted>2012-09-24T09:39:00Z</cp:lastPrinted>
  <dcterms:created xsi:type="dcterms:W3CDTF">2024-07-25T08:37:00Z</dcterms:created>
  <dcterms:modified xsi:type="dcterms:W3CDTF">2024-11-19T10:02:00Z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